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5A68A" w14:textId="77777777" w:rsidR="00145ADF" w:rsidRPr="00286C9F" w:rsidRDefault="00B60173" w:rsidP="0076011A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86C9F">
        <w:rPr>
          <w:rFonts w:ascii="Times New Roman" w:hAnsi="Times New Roman" w:cs="Times New Roman"/>
          <w:b/>
          <w:noProof/>
          <w:sz w:val="24"/>
          <w:szCs w:val="24"/>
          <w:u w:val="single"/>
        </w:rPr>
        <w:drawing>
          <wp:anchor distT="0" distB="0" distL="114300" distR="114300" simplePos="0" relativeHeight="251658240" behindDoc="1" locked="0" layoutInCell="0" allowOverlap="1" wp14:anchorId="79D1334E" wp14:editId="69AA222E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406400" cy="647700"/>
            <wp:effectExtent l="0" t="0" r="0" b="0"/>
            <wp:wrapSquare wrapText="bothSides"/>
            <wp:docPr id="2" name="Picture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0B2B" w:rsidRPr="00286C9F">
        <w:rPr>
          <w:b/>
          <w:sz w:val="24"/>
          <w:szCs w:val="24"/>
          <w:u w:val="single"/>
        </w:rPr>
        <w:t>TENANTS PROTECTION ASSOCIATION AUCKLAND (INC).</w:t>
      </w:r>
      <w:r w:rsidR="00311550">
        <w:rPr>
          <w:b/>
          <w:sz w:val="24"/>
          <w:szCs w:val="24"/>
          <w:u w:val="single"/>
        </w:rPr>
        <w:t xml:space="preserve"> </w:t>
      </w:r>
      <w:r w:rsidR="00D365A3" w:rsidRPr="00D365A3">
        <w:rPr>
          <w:b/>
          <w:sz w:val="24"/>
          <w:szCs w:val="24"/>
        </w:rPr>
        <w:tab/>
      </w:r>
      <w:r w:rsidR="00D365A3" w:rsidRPr="00D365A3">
        <w:rPr>
          <w:b/>
          <w:sz w:val="24"/>
          <w:szCs w:val="24"/>
        </w:rPr>
        <w:tab/>
      </w:r>
    </w:p>
    <w:p w14:paraId="0D52FBD0" w14:textId="77777777" w:rsidR="00F20B2B" w:rsidRDefault="007201EB" w:rsidP="0076011A">
      <w:pPr>
        <w:jc w:val="center"/>
        <w:rPr>
          <w:sz w:val="24"/>
          <w:szCs w:val="24"/>
        </w:rPr>
      </w:pPr>
      <w:r w:rsidRPr="00286C9F">
        <w:rPr>
          <w:sz w:val="24"/>
          <w:szCs w:val="24"/>
        </w:rPr>
        <w:t>PREPARATION FOR A TENANCY TRIBUNAL HEARING</w:t>
      </w:r>
      <w:r w:rsidR="0076011A" w:rsidRPr="00286C9F">
        <w:rPr>
          <w:sz w:val="24"/>
          <w:szCs w:val="24"/>
        </w:rPr>
        <w:t>: A GUIDE</w:t>
      </w:r>
      <w:r w:rsidR="00C26D97">
        <w:rPr>
          <w:sz w:val="24"/>
          <w:szCs w:val="24"/>
        </w:rPr>
        <w:t xml:space="preserve"> FOR TENANTS</w:t>
      </w:r>
    </w:p>
    <w:p w14:paraId="439321D2" w14:textId="77777777" w:rsidR="000A6066" w:rsidRPr="00286C9F" w:rsidRDefault="000A6066" w:rsidP="0076011A">
      <w:pPr>
        <w:jc w:val="center"/>
        <w:rPr>
          <w:sz w:val="24"/>
          <w:szCs w:val="24"/>
        </w:rPr>
      </w:pPr>
    </w:p>
    <w:p w14:paraId="7E854529" w14:textId="77777777" w:rsidR="000A6066" w:rsidRDefault="0076011A" w:rsidP="0076011A">
      <w:pPr>
        <w:spacing w:line="240" w:lineRule="auto"/>
        <w:rPr>
          <w:sz w:val="20"/>
          <w:szCs w:val="20"/>
        </w:rPr>
      </w:pPr>
      <w:r w:rsidRPr="0076011A">
        <w:rPr>
          <w:b/>
          <w:sz w:val="20"/>
          <w:szCs w:val="20"/>
        </w:rPr>
        <w:t>Note</w:t>
      </w:r>
      <w:r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C26D97">
        <w:rPr>
          <w:sz w:val="20"/>
          <w:szCs w:val="20"/>
        </w:rPr>
        <w:t>You</w:t>
      </w:r>
      <w:r>
        <w:rPr>
          <w:sz w:val="20"/>
          <w:szCs w:val="20"/>
        </w:rPr>
        <w:t xml:space="preserve"> will almost </w:t>
      </w:r>
      <w:r w:rsidR="00C26D97">
        <w:rPr>
          <w:sz w:val="20"/>
          <w:szCs w:val="20"/>
        </w:rPr>
        <w:t>certainly</w:t>
      </w:r>
      <w:r>
        <w:rPr>
          <w:sz w:val="20"/>
          <w:szCs w:val="20"/>
        </w:rPr>
        <w:t xml:space="preserve"> be presenting </w:t>
      </w:r>
      <w:r w:rsidR="00C26D97">
        <w:rPr>
          <w:sz w:val="20"/>
          <w:szCs w:val="20"/>
        </w:rPr>
        <w:t>your</w:t>
      </w:r>
      <w:r>
        <w:rPr>
          <w:sz w:val="20"/>
          <w:szCs w:val="20"/>
        </w:rPr>
        <w:t xml:space="preserve"> own case, without </w:t>
      </w:r>
      <w:r w:rsidR="00887BC1">
        <w:rPr>
          <w:sz w:val="20"/>
          <w:szCs w:val="20"/>
        </w:rPr>
        <w:t>someone speaking for you</w:t>
      </w:r>
      <w:r>
        <w:rPr>
          <w:sz w:val="20"/>
          <w:szCs w:val="20"/>
        </w:rPr>
        <w:t>, so being organised and properly prepa</w:t>
      </w:r>
      <w:r w:rsidR="00D05F93">
        <w:rPr>
          <w:sz w:val="20"/>
          <w:szCs w:val="20"/>
        </w:rPr>
        <w:t xml:space="preserve">red is </w:t>
      </w:r>
      <w:r w:rsidR="00887BC1">
        <w:rPr>
          <w:sz w:val="20"/>
          <w:szCs w:val="20"/>
        </w:rPr>
        <w:t>important.</w:t>
      </w:r>
    </w:p>
    <w:p w14:paraId="59BB27DC" w14:textId="77777777" w:rsidR="0076011A" w:rsidRDefault="0076011A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1. A good way to </w:t>
      </w:r>
      <w:r w:rsidR="00750944">
        <w:rPr>
          <w:sz w:val="20"/>
          <w:szCs w:val="20"/>
        </w:rPr>
        <w:t>prepare</w:t>
      </w:r>
      <w:r>
        <w:rPr>
          <w:sz w:val="20"/>
          <w:szCs w:val="20"/>
        </w:rPr>
        <w:t xml:space="preserve"> </w:t>
      </w:r>
      <w:r w:rsidR="00B46837">
        <w:rPr>
          <w:sz w:val="20"/>
          <w:szCs w:val="20"/>
        </w:rPr>
        <w:t>is</w:t>
      </w:r>
      <w:r>
        <w:rPr>
          <w:sz w:val="20"/>
          <w:szCs w:val="20"/>
        </w:rPr>
        <w:t xml:space="preserve"> to attend another Tena</w:t>
      </w:r>
      <w:r w:rsidR="00887BC1">
        <w:rPr>
          <w:sz w:val="20"/>
          <w:szCs w:val="20"/>
        </w:rPr>
        <w:t>ncy Tribunal hearing before your one</w:t>
      </w:r>
      <w:r w:rsidR="00AF051D">
        <w:rPr>
          <w:sz w:val="20"/>
          <w:szCs w:val="20"/>
        </w:rPr>
        <w:t xml:space="preserve">, to </w:t>
      </w:r>
      <w:r w:rsidR="00C26D97">
        <w:rPr>
          <w:sz w:val="20"/>
          <w:szCs w:val="20"/>
        </w:rPr>
        <w:t>see how the Tribunal works</w:t>
      </w:r>
      <w:r w:rsidR="00A723BF">
        <w:rPr>
          <w:sz w:val="20"/>
          <w:szCs w:val="20"/>
        </w:rPr>
        <w:t xml:space="preserve">; </w:t>
      </w:r>
      <w:r w:rsidR="00C26D97">
        <w:rPr>
          <w:sz w:val="20"/>
          <w:szCs w:val="20"/>
        </w:rPr>
        <w:t>it is</w:t>
      </w:r>
      <w:r>
        <w:rPr>
          <w:sz w:val="20"/>
          <w:szCs w:val="20"/>
        </w:rPr>
        <w:t xml:space="preserve"> public and </w:t>
      </w:r>
      <w:r w:rsidR="00C26D97">
        <w:rPr>
          <w:sz w:val="20"/>
          <w:szCs w:val="20"/>
        </w:rPr>
        <w:t>you</w:t>
      </w:r>
      <w:r>
        <w:rPr>
          <w:sz w:val="20"/>
          <w:szCs w:val="20"/>
        </w:rPr>
        <w:t xml:space="preserve"> may identify</w:t>
      </w:r>
      <w:r w:rsidR="00C26D97">
        <w:rPr>
          <w:sz w:val="20"/>
          <w:szCs w:val="20"/>
        </w:rPr>
        <w:t xml:space="preserve"> yourself</w:t>
      </w:r>
      <w:r>
        <w:rPr>
          <w:sz w:val="20"/>
          <w:szCs w:val="20"/>
        </w:rPr>
        <w:t xml:space="preserve"> as ‘an observer’ when questioned about </w:t>
      </w:r>
      <w:r w:rsidR="00C26D97">
        <w:rPr>
          <w:sz w:val="20"/>
          <w:szCs w:val="20"/>
        </w:rPr>
        <w:t>being there</w:t>
      </w:r>
      <w:r>
        <w:rPr>
          <w:sz w:val="20"/>
          <w:szCs w:val="20"/>
        </w:rPr>
        <w:t>.</w:t>
      </w:r>
    </w:p>
    <w:p w14:paraId="7BF50766" w14:textId="77777777" w:rsidR="00887BC1" w:rsidRDefault="0076011A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r w:rsidR="00C26D97">
        <w:rPr>
          <w:sz w:val="20"/>
          <w:szCs w:val="20"/>
        </w:rPr>
        <w:t>You</w:t>
      </w:r>
      <w:r>
        <w:rPr>
          <w:sz w:val="20"/>
          <w:szCs w:val="20"/>
        </w:rPr>
        <w:t xml:space="preserve"> should have all the rele</w:t>
      </w:r>
      <w:r w:rsidR="00C26D97">
        <w:rPr>
          <w:sz w:val="20"/>
          <w:szCs w:val="20"/>
        </w:rPr>
        <w:t>vant documents that support you</w:t>
      </w:r>
      <w:r>
        <w:rPr>
          <w:sz w:val="20"/>
          <w:szCs w:val="20"/>
        </w:rPr>
        <w:t>r case – e.g. tenancy agreement,</w:t>
      </w:r>
      <w:r w:rsidR="00510B25">
        <w:rPr>
          <w:sz w:val="20"/>
          <w:szCs w:val="20"/>
        </w:rPr>
        <w:t xml:space="preserve"> rent records, photos, reports, </w:t>
      </w:r>
      <w:r>
        <w:rPr>
          <w:sz w:val="20"/>
          <w:szCs w:val="20"/>
        </w:rPr>
        <w:t>as sworn affidavits, prefe</w:t>
      </w:r>
      <w:r w:rsidR="00B46837">
        <w:rPr>
          <w:sz w:val="20"/>
          <w:szCs w:val="20"/>
        </w:rPr>
        <w:t>rably</w:t>
      </w:r>
      <w:r w:rsidR="00510B25">
        <w:rPr>
          <w:sz w:val="20"/>
          <w:szCs w:val="20"/>
        </w:rPr>
        <w:t xml:space="preserve"> (see 3. Below)</w:t>
      </w:r>
      <w:r w:rsidR="00B46837">
        <w:rPr>
          <w:sz w:val="20"/>
          <w:szCs w:val="20"/>
        </w:rPr>
        <w:t>, letters, e-mails, texts, videos</w:t>
      </w:r>
      <w:r w:rsidR="00A723BF">
        <w:rPr>
          <w:sz w:val="20"/>
          <w:szCs w:val="20"/>
        </w:rPr>
        <w:t xml:space="preserve">, </w:t>
      </w:r>
      <w:r w:rsidR="00750944">
        <w:rPr>
          <w:sz w:val="20"/>
          <w:szCs w:val="20"/>
        </w:rPr>
        <w:t>as arranged with the Tribunal</w:t>
      </w:r>
      <w:r w:rsidR="00B46837">
        <w:rPr>
          <w:sz w:val="20"/>
          <w:szCs w:val="20"/>
        </w:rPr>
        <w:t xml:space="preserve">. </w:t>
      </w:r>
      <w:r w:rsidR="008F65F2">
        <w:rPr>
          <w:sz w:val="20"/>
          <w:szCs w:val="20"/>
        </w:rPr>
        <w:t>Keep these documents in order and make sure they are brief as possible and</w:t>
      </w:r>
      <w:r w:rsidR="00B46837">
        <w:rPr>
          <w:sz w:val="20"/>
          <w:szCs w:val="20"/>
        </w:rPr>
        <w:t xml:space="preserve"> relevant</w:t>
      </w:r>
      <w:r w:rsidR="008F65F2">
        <w:rPr>
          <w:sz w:val="20"/>
          <w:szCs w:val="20"/>
        </w:rPr>
        <w:t xml:space="preserve"> to the </w:t>
      </w:r>
      <w:r w:rsidR="00B46837">
        <w:rPr>
          <w:sz w:val="20"/>
          <w:szCs w:val="20"/>
        </w:rPr>
        <w:t>issue</w:t>
      </w:r>
      <w:r w:rsidR="00A723BF">
        <w:rPr>
          <w:sz w:val="20"/>
          <w:szCs w:val="20"/>
        </w:rPr>
        <w:t xml:space="preserve">, </w:t>
      </w:r>
      <w:r w:rsidR="00D574E3">
        <w:rPr>
          <w:sz w:val="20"/>
          <w:szCs w:val="20"/>
        </w:rPr>
        <w:t xml:space="preserve">as outlined in </w:t>
      </w:r>
      <w:r w:rsidR="00B46837">
        <w:rPr>
          <w:sz w:val="20"/>
          <w:szCs w:val="20"/>
        </w:rPr>
        <w:t>the</w:t>
      </w:r>
      <w:r w:rsidR="00D574E3">
        <w:rPr>
          <w:sz w:val="20"/>
          <w:szCs w:val="20"/>
        </w:rPr>
        <w:t xml:space="preserve"> application</w:t>
      </w:r>
      <w:r w:rsidR="008F65F2">
        <w:rPr>
          <w:sz w:val="20"/>
          <w:szCs w:val="20"/>
        </w:rPr>
        <w:t xml:space="preserve">. </w:t>
      </w:r>
      <w:r w:rsidR="00887BC1">
        <w:rPr>
          <w:sz w:val="20"/>
          <w:szCs w:val="20"/>
        </w:rPr>
        <w:t xml:space="preserve">Remember that the Adjudicator will </w:t>
      </w:r>
      <w:r w:rsidR="00B46837">
        <w:rPr>
          <w:sz w:val="20"/>
          <w:szCs w:val="20"/>
        </w:rPr>
        <w:t>try to find out</w:t>
      </w:r>
      <w:r w:rsidR="00A723BF">
        <w:rPr>
          <w:sz w:val="20"/>
          <w:szCs w:val="20"/>
        </w:rPr>
        <w:t xml:space="preserve"> exactly what happened, that is, </w:t>
      </w:r>
      <w:r w:rsidR="00887BC1">
        <w:rPr>
          <w:sz w:val="20"/>
          <w:szCs w:val="20"/>
        </w:rPr>
        <w:t>the facts.</w:t>
      </w:r>
    </w:p>
    <w:p w14:paraId="0229C427" w14:textId="77777777" w:rsidR="0076011A" w:rsidRDefault="0076011A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3. Let Tenancy Se</w:t>
      </w:r>
      <w:r w:rsidR="00C26D97">
        <w:rPr>
          <w:sz w:val="20"/>
          <w:szCs w:val="20"/>
        </w:rPr>
        <w:t xml:space="preserve">rvices know </w:t>
      </w:r>
      <w:r>
        <w:rPr>
          <w:sz w:val="20"/>
          <w:szCs w:val="20"/>
        </w:rPr>
        <w:t xml:space="preserve">beforehand if </w:t>
      </w:r>
      <w:r w:rsidR="00C26D97">
        <w:rPr>
          <w:sz w:val="20"/>
          <w:szCs w:val="20"/>
        </w:rPr>
        <w:t>you are going to bring any witnesses as part of your case evidence</w:t>
      </w:r>
      <w:r>
        <w:rPr>
          <w:sz w:val="20"/>
          <w:szCs w:val="20"/>
        </w:rPr>
        <w:t>.</w:t>
      </w:r>
      <w:r w:rsidR="000F4989">
        <w:rPr>
          <w:sz w:val="20"/>
          <w:szCs w:val="20"/>
        </w:rPr>
        <w:t xml:space="preserve"> </w:t>
      </w:r>
      <w:r w:rsidR="00A723BF">
        <w:rPr>
          <w:sz w:val="20"/>
          <w:szCs w:val="20"/>
        </w:rPr>
        <w:t xml:space="preserve">A sworn statement by a witness, by way of </w:t>
      </w:r>
      <w:r w:rsidR="000F4989">
        <w:rPr>
          <w:sz w:val="20"/>
          <w:szCs w:val="20"/>
        </w:rPr>
        <w:t>affidavi</w:t>
      </w:r>
      <w:r w:rsidR="00A723BF">
        <w:rPr>
          <w:sz w:val="20"/>
          <w:szCs w:val="20"/>
        </w:rPr>
        <w:t>t before a Justice of the Peace,</w:t>
      </w:r>
      <w:r w:rsidR="000F4989">
        <w:rPr>
          <w:sz w:val="20"/>
          <w:szCs w:val="20"/>
        </w:rPr>
        <w:t xml:space="preserve"> </w:t>
      </w:r>
      <w:r w:rsidR="00077911">
        <w:rPr>
          <w:sz w:val="20"/>
          <w:szCs w:val="20"/>
        </w:rPr>
        <w:t>can be presented</w:t>
      </w:r>
      <w:r w:rsidR="00B46837">
        <w:rPr>
          <w:sz w:val="20"/>
          <w:szCs w:val="20"/>
        </w:rPr>
        <w:t xml:space="preserve"> as evidence</w:t>
      </w:r>
      <w:r w:rsidR="00077911">
        <w:rPr>
          <w:sz w:val="20"/>
          <w:szCs w:val="20"/>
        </w:rPr>
        <w:t xml:space="preserve"> if the witness does </w:t>
      </w:r>
      <w:r w:rsidR="00B46837">
        <w:rPr>
          <w:sz w:val="20"/>
          <w:szCs w:val="20"/>
        </w:rPr>
        <w:t>attend</w:t>
      </w:r>
      <w:r w:rsidR="00077911">
        <w:rPr>
          <w:sz w:val="20"/>
          <w:szCs w:val="20"/>
        </w:rPr>
        <w:t xml:space="preserve"> the hearing</w:t>
      </w:r>
      <w:r w:rsidR="000F4989">
        <w:rPr>
          <w:sz w:val="20"/>
          <w:szCs w:val="20"/>
        </w:rPr>
        <w:t>.</w:t>
      </w:r>
    </w:p>
    <w:p w14:paraId="1756B575" w14:textId="77777777" w:rsidR="00AF051D" w:rsidRDefault="00AF051D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="008F65F2">
        <w:rPr>
          <w:sz w:val="20"/>
          <w:szCs w:val="20"/>
        </w:rPr>
        <w:t>The</w:t>
      </w:r>
      <w:r>
        <w:rPr>
          <w:sz w:val="20"/>
          <w:szCs w:val="20"/>
        </w:rPr>
        <w:t xml:space="preserve"> Tribunal w</w:t>
      </w:r>
      <w:r w:rsidR="00C26D97">
        <w:rPr>
          <w:sz w:val="20"/>
          <w:szCs w:val="20"/>
        </w:rPr>
        <w:t>ill only look at what is included in your</w:t>
      </w:r>
      <w:r>
        <w:rPr>
          <w:sz w:val="20"/>
          <w:szCs w:val="20"/>
        </w:rPr>
        <w:t xml:space="preserve"> application, so any other issues must be </w:t>
      </w:r>
      <w:r w:rsidR="00C26D97">
        <w:rPr>
          <w:sz w:val="20"/>
          <w:szCs w:val="20"/>
        </w:rPr>
        <w:t>put</w:t>
      </w:r>
      <w:r>
        <w:rPr>
          <w:sz w:val="20"/>
          <w:szCs w:val="20"/>
        </w:rPr>
        <w:t xml:space="preserve"> </w:t>
      </w:r>
      <w:r w:rsidR="00C26D97">
        <w:rPr>
          <w:sz w:val="20"/>
          <w:szCs w:val="20"/>
        </w:rPr>
        <w:t>in a</w:t>
      </w:r>
      <w:r w:rsidR="008F65F2">
        <w:rPr>
          <w:sz w:val="20"/>
          <w:szCs w:val="20"/>
        </w:rPr>
        <w:t xml:space="preserve"> separate </w:t>
      </w:r>
      <w:r>
        <w:rPr>
          <w:sz w:val="20"/>
          <w:szCs w:val="20"/>
        </w:rPr>
        <w:t>c</w:t>
      </w:r>
      <w:r w:rsidR="00A66CD7">
        <w:rPr>
          <w:sz w:val="20"/>
          <w:szCs w:val="20"/>
        </w:rPr>
        <w:t>ross</w:t>
      </w:r>
      <w:r w:rsidR="00510B25">
        <w:rPr>
          <w:sz w:val="20"/>
          <w:szCs w:val="20"/>
        </w:rPr>
        <w:t xml:space="preserve">-application </w:t>
      </w:r>
      <w:r w:rsidR="00A66CD7">
        <w:rPr>
          <w:sz w:val="20"/>
          <w:szCs w:val="20"/>
        </w:rPr>
        <w:t>or counter</w:t>
      </w:r>
      <w:r>
        <w:rPr>
          <w:sz w:val="20"/>
          <w:szCs w:val="20"/>
        </w:rPr>
        <w:t>-claim, which can then be heard at the same hearing.</w:t>
      </w:r>
    </w:p>
    <w:p w14:paraId="747C0033" w14:textId="77777777" w:rsidR="00AF051D" w:rsidRDefault="00AF051D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5. </w:t>
      </w:r>
      <w:r w:rsidR="00C26D97">
        <w:rPr>
          <w:sz w:val="20"/>
          <w:szCs w:val="20"/>
        </w:rPr>
        <w:t>You</w:t>
      </w:r>
      <w:r>
        <w:rPr>
          <w:sz w:val="20"/>
          <w:szCs w:val="20"/>
        </w:rPr>
        <w:t xml:space="preserve"> should prepare writte</w:t>
      </w:r>
      <w:r w:rsidR="00C26D97">
        <w:rPr>
          <w:sz w:val="20"/>
          <w:szCs w:val="20"/>
        </w:rPr>
        <w:t xml:space="preserve">n submissions, </w:t>
      </w:r>
      <w:r w:rsidR="008F65F2">
        <w:rPr>
          <w:sz w:val="20"/>
          <w:szCs w:val="20"/>
        </w:rPr>
        <w:t>with a summary of</w:t>
      </w:r>
      <w:r w:rsidR="00C26D97">
        <w:rPr>
          <w:sz w:val="20"/>
          <w:szCs w:val="20"/>
        </w:rPr>
        <w:t xml:space="preserve"> </w:t>
      </w:r>
      <w:r w:rsidR="008F65F2">
        <w:rPr>
          <w:sz w:val="20"/>
          <w:szCs w:val="20"/>
        </w:rPr>
        <w:t>your</w:t>
      </w:r>
      <w:r w:rsidR="00510B25">
        <w:rPr>
          <w:sz w:val="20"/>
          <w:szCs w:val="20"/>
        </w:rPr>
        <w:t xml:space="preserve"> claim, </w:t>
      </w:r>
      <w:r>
        <w:rPr>
          <w:sz w:val="20"/>
          <w:szCs w:val="20"/>
        </w:rPr>
        <w:t xml:space="preserve">or response, using bullet-points or numbered points, </w:t>
      </w:r>
      <w:r w:rsidR="008F65F2">
        <w:rPr>
          <w:sz w:val="20"/>
          <w:szCs w:val="20"/>
        </w:rPr>
        <w:t>linked</w:t>
      </w:r>
      <w:r w:rsidR="00513A64">
        <w:rPr>
          <w:sz w:val="20"/>
          <w:szCs w:val="20"/>
        </w:rPr>
        <w:t xml:space="preserve"> to</w:t>
      </w:r>
      <w:r>
        <w:rPr>
          <w:sz w:val="20"/>
          <w:szCs w:val="20"/>
        </w:rPr>
        <w:t xml:space="preserve"> </w:t>
      </w:r>
      <w:r w:rsidR="00C26D97">
        <w:rPr>
          <w:sz w:val="20"/>
          <w:szCs w:val="20"/>
        </w:rPr>
        <w:t>the relevant</w:t>
      </w:r>
      <w:r>
        <w:rPr>
          <w:sz w:val="20"/>
          <w:szCs w:val="20"/>
        </w:rPr>
        <w:t xml:space="preserve"> items of evidence. An introduction should state</w:t>
      </w:r>
      <w:r w:rsidR="00A66CD7">
        <w:rPr>
          <w:sz w:val="20"/>
          <w:szCs w:val="20"/>
        </w:rPr>
        <w:t xml:space="preserve"> briefly</w:t>
      </w:r>
      <w:r>
        <w:rPr>
          <w:sz w:val="20"/>
          <w:szCs w:val="20"/>
        </w:rPr>
        <w:t xml:space="preserve"> the</w:t>
      </w:r>
      <w:r w:rsidR="00750944">
        <w:rPr>
          <w:sz w:val="20"/>
          <w:szCs w:val="20"/>
        </w:rPr>
        <w:t xml:space="preserve"> relevant</w:t>
      </w:r>
      <w:r>
        <w:rPr>
          <w:sz w:val="20"/>
          <w:szCs w:val="20"/>
        </w:rPr>
        <w:t xml:space="preserve"> issues, followed by a statement of the facts. These should be typed and copies be made available for the adjudicator and other party.</w:t>
      </w:r>
    </w:p>
    <w:p w14:paraId="5420AC4C" w14:textId="77777777" w:rsidR="00BE7F50" w:rsidRDefault="00BE7F50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6. Any questions before the hearing must be made to Tenancy Services, 5 days or more before the hearing date, or to t</w:t>
      </w:r>
      <w:r w:rsidR="00A66CD7">
        <w:rPr>
          <w:sz w:val="20"/>
          <w:szCs w:val="20"/>
        </w:rPr>
        <w:t xml:space="preserve">he Courts, </w:t>
      </w:r>
      <w:r>
        <w:rPr>
          <w:sz w:val="20"/>
          <w:szCs w:val="20"/>
        </w:rPr>
        <w:t xml:space="preserve">Tribunals division of the Ministry of Justice, </w:t>
      </w:r>
      <w:r w:rsidR="00510B25">
        <w:rPr>
          <w:sz w:val="20"/>
          <w:szCs w:val="20"/>
        </w:rPr>
        <w:t>later than this</w:t>
      </w:r>
      <w:r>
        <w:rPr>
          <w:sz w:val="20"/>
          <w:szCs w:val="20"/>
        </w:rPr>
        <w:t>.</w:t>
      </w:r>
    </w:p>
    <w:p w14:paraId="047EBE8C" w14:textId="77777777" w:rsidR="00AF051D" w:rsidRDefault="00BE7F50" w:rsidP="00760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7</w:t>
      </w:r>
      <w:r w:rsidR="00077911">
        <w:rPr>
          <w:sz w:val="20"/>
          <w:szCs w:val="20"/>
        </w:rPr>
        <w:t>. Stay</w:t>
      </w:r>
      <w:r w:rsidR="00513A64">
        <w:rPr>
          <w:sz w:val="20"/>
          <w:szCs w:val="20"/>
        </w:rPr>
        <w:t xml:space="preserve"> </w:t>
      </w:r>
      <w:r w:rsidR="00AF051D">
        <w:rPr>
          <w:sz w:val="20"/>
          <w:szCs w:val="20"/>
        </w:rPr>
        <w:t>calm and courteous</w:t>
      </w:r>
      <w:r w:rsidR="008F65F2">
        <w:rPr>
          <w:sz w:val="20"/>
          <w:szCs w:val="20"/>
        </w:rPr>
        <w:t xml:space="preserve"> once the hearing is under way. Do not interrupt or lose your temper. Take notes of what the other party says</w:t>
      </w:r>
      <w:r w:rsidR="00B7566B">
        <w:rPr>
          <w:sz w:val="20"/>
          <w:szCs w:val="20"/>
        </w:rPr>
        <w:t>; this will be helpful for when you ask your own questions</w:t>
      </w:r>
      <w:r w:rsidR="00311550">
        <w:rPr>
          <w:sz w:val="20"/>
          <w:szCs w:val="20"/>
        </w:rPr>
        <w:t>.</w:t>
      </w:r>
    </w:p>
    <w:p w14:paraId="0D60B9A9" w14:textId="77777777" w:rsidR="00AF051D" w:rsidRDefault="00C26D97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AF051D">
        <w:rPr>
          <w:sz w:val="20"/>
          <w:szCs w:val="20"/>
        </w:rPr>
        <w:t>Adjudicator opens, with introductions. Including the applicant and respondent.</w:t>
      </w:r>
    </w:p>
    <w:p w14:paraId="52BF2FBB" w14:textId="77777777" w:rsid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Applicant presents case, with supporting evidence (including any witnesses). There will be opportunities provided for questions from both the Adjudicator and the other party.</w:t>
      </w:r>
    </w:p>
    <w:p w14:paraId="0B9700A3" w14:textId="77777777" w:rsidR="00AF051D" w:rsidRP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Respondent presents case, with supporting evidence (including any witnesses). There will be opportunities provided for questions from both the Adjudicator and the other party.</w:t>
      </w:r>
    </w:p>
    <w:p w14:paraId="3B002FAD" w14:textId="77777777" w:rsidR="00AF051D" w:rsidRDefault="00AF051D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Adjudicator</w:t>
      </w:r>
      <w:r w:rsidR="00BE7F50">
        <w:rPr>
          <w:sz w:val="20"/>
          <w:szCs w:val="20"/>
        </w:rPr>
        <w:t xml:space="preserve"> will conclude the hearing by asking both parties whether they have anything further to say.</w:t>
      </w:r>
    </w:p>
    <w:p w14:paraId="1131DE1C" w14:textId="77777777" w:rsidR="00BE7F50" w:rsidRDefault="00BE7F50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Decision may be made and provided to the parties</w:t>
      </w:r>
      <w:r w:rsidR="0084554A">
        <w:rPr>
          <w:sz w:val="20"/>
          <w:szCs w:val="20"/>
        </w:rPr>
        <w:t xml:space="preserve"> either</w:t>
      </w:r>
      <w:r>
        <w:rPr>
          <w:sz w:val="20"/>
          <w:szCs w:val="20"/>
        </w:rPr>
        <w:t xml:space="preserve"> at the end of the hearing, or ‘reserve</w:t>
      </w:r>
      <w:r w:rsidR="0084554A">
        <w:rPr>
          <w:sz w:val="20"/>
          <w:szCs w:val="20"/>
        </w:rPr>
        <w:t>d</w:t>
      </w:r>
      <w:r>
        <w:rPr>
          <w:sz w:val="20"/>
          <w:szCs w:val="20"/>
        </w:rPr>
        <w:t>’ for later; this should not take more than four weeks.</w:t>
      </w:r>
    </w:p>
    <w:p w14:paraId="41229EFB" w14:textId="77777777" w:rsidR="00BE7F50" w:rsidRDefault="00BE7F50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The De</w:t>
      </w:r>
      <w:r w:rsidR="00710277">
        <w:rPr>
          <w:sz w:val="20"/>
          <w:szCs w:val="20"/>
        </w:rPr>
        <w:t xml:space="preserve">cision will be in the form of </w:t>
      </w:r>
      <w:r>
        <w:rPr>
          <w:sz w:val="20"/>
          <w:szCs w:val="20"/>
        </w:rPr>
        <w:t xml:space="preserve">written Order of the </w:t>
      </w:r>
      <w:r w:rsidR="00C26D97">
        <w:rPr>
          <w:sz w:val="20"/>
          <w:szCs w:val="20"/>
        </w:rPr>
        <w:t>Tribunal, which must be complied with</w:t>
      </w:r>
      <w:r>
        <w:rPr>
          <w:sz w:val="20"/>
          <w:szCs w:val="20"/>
        </w:rPr>
        <w:t xml:space="preserve"> by both parties.</w:t>
      </w:r>
    </w:p>
    <w:p w14:paraId="6839CF9C" w14:textId="77777777" w:rsidR="00BE7F50" w:rsidRDefault="00BE7F50" w:rsidP="00AF051D">
      <w:pPr>
        <w:pStyle w:val="ListParagraph"/>
        <w:numPr>
          <w:ilvl w:val="0"/>
          <w:numId w:val="2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If the other party does not comply with the Order, enforcement must be made through the Collections Unit of the Ministry of Justice (</w:t>
      </w:r>
      <w:r w:rsidR="00513A64">
        <w:rPr>
          <w:sz w:val="20"/>
          <w:szCs w:val="20"/>
        </w:rPr>
        <w:t>not through</w:t>
      </w:r>
      <w:r>
        <w:rPr>
          <w:sz w:val="20"/>
          <w:szCs w:val="20"/>
        </w:rPr>
        <w:t xml:space="preserve"> the Tenancy Tribunal</w:t>
      </w:r>
      <w:r w:rsidR="00C26D97">
        <w:rPr>
          <w:sz w:val="20"/>
          <w:szCs w:val="20"/>
        </w:rPr>
        <w:t>)</w:t>
      </w:r>
      <w:r>
        <w:rPr>
          <w:sz w:val="20"/>
          <w:szCs w:val="20"/>
        </w:rPr>
        <w:t xml:space="preserve"> and</w:t>
      </w:r>
      <w:r w:rsidR="00513A64">
        <w:rPr>
          <w:sz w:val="20"/>
          <w:szCs w:val="20"/>
        </w:rPr>
        <w:t xml:space="preserve"> which is</w:t>
      </w:r>
      <w:r>
        <w:rPr>
          <w:sz w:val="20"/>
          <w:szCs w:val="20"/>
        </w:rPr>
        <w:t xml:space="preserve"> part of the general courts</w:t>
      </w:r>
      <w:r w:rsidR="00513A64">
        <w:rPr>
          <w:sz w:val="20"/>
          <w:szCs w:val="20"/>
        </w:rPr>
        <w:t>’</w:t>
      </w:r>
      <w:r>
        <w:rPr>
          <w:sz w:val="20"/>
          <w:szCs w:val="20"/>
        </w:rPr>
        <w:t xml:space="preserve"> and tribunals</w:t>
      </w:r>
      <w:r w:rsidR="00513A64">
        <w:rPr>
          <w:sz w:val="20"/>
          <w:szCs w:val="20"/>
        </w:rPr>
        <w:t>’</w:t>
      </w:r>
      <w:r>
        <w:rPr>
          <w:sz w:val="20"/>
          <w:szCs w:val="20"/>
        </w:rPr>
        <w:t xml:space="preserve"> enforcement process).</w:t>
      </w:r>
    </w:p>
    <w:p w14:paraId="0CDE7801" w14:textId="77777777" w:rsidR="002C2D36" w:rsidRDefault="002C2D36" w:rsidP="00510B25">
      <w:pPr>
        <w:spacing w:line="240" w:lineRule="auto"/>
        <w:jc w:val="right"/>
        <w:rPr>
          <w:sz w:val="20"/>
          <w:szCs w:val="20"/>
        </w:rPr>
      </w:pPr>
    </w:p>
    <w:p w14:paraId="4DAE7A28" w14:textId="77777777" w:rsidR="002F4EB7" w:rsidRPr="00510B25" w:rsidRDefault="00510B25" w:rsidP="00510B25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- Tenants Protection Association</w:t>
      </w:r>
      <w:r w:rsidRPr="00510B25">
        <w:rPr>
          <w:sz w:val="20"/>
          <w:szCs w:val="20"/>
        </w:rPr>
        <w:t xml:space="preserve"> (A</w:t>
      </w:r>
      <w:r>
        <w:rPr>
          <w:sz w:val="20"/>
          <w:szCs w:val="20"/>
        </w:rPr>
        <w:t>uckland</w:t>
      </w:r>
      <w:r w:rsidRPr="00510B25">
        <w:rPr>
          <w:sz w:val="20"/>
          <w:szCs w:val="20"/>
        </w:rPr>
        <w:t>)</w:t>
      </w:r>
    </w:p>
    <w:p w14:paraId="3991286C" w14:textId="77777777" w:rsidR="00510B25" w:rsidRPr="00510B25" w:rsidRDefault="00510B25" w:rsidP="00510B25">
      <w:pPr>
        <w:spacing w:line="240" w:lineRule="auto"/>
        <w:jc w:val="right"/>
        <w:rPr>
          <w:sz w:val="20"/>
          <w:szCs w:val="20"/>
        </w:rPr>
      </w:pPr>
      <w:r w:rsidRPr="00510B25">
        <w:rPr>
          <w:sz w:val="20"/>
          <w:szCs w:val="20"/>
        </w:rPr>
        <w:t>Ph. 360-1473 (Mon. to Fri. 9.30am – 12.30pm).</w:t>
      </w:r>
    </w:p>
    <w:p w14:paraId="10C8938D" w14:textId="77777777" w:rsidR="00510B25" w:rsidRPr="00510B25" w:rsidRDefault="00510B25" w:rsidP="00510B25">
      <w:pPr>
        <w:spacing w:line="240" w:lineRule="auto"/>
        <w:jc w:val="right"/>
        <w:rPr>
          <w:sz w:val="20"/>
          <w:szCs w:val="20"/>
        </w:rPr>
      </w:pPr>
      <w:r w:rsidRPr="00510B25">
        <w:rPr>
          <w:sz w:val="20"/>
          <w:szCs w:val="20"/>
        </w:rPr>
        <w:t>tpaauckland@xtra.co.nz</w:t>
      </w:r>
    </w:p>
    <w:sectPr w:rsidR="00510B25" w:rsidRPr="00510B25" w:rsidSect="00145A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2F5C84"/>
    <w:multiLevelType w:val="hybridMultilevel"/>
    <w:tmpl w:val="18EA32D6"/>
    <w:lvl w:ilvl="0" w:tplc="5288AD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E25A11"/>
    <w:multiLevelType w:val="hybridMultilevel"/>
    <w:tmpl w:val="FD30D51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D89"/>
    <w:rsid w:val="000750C4"/>
    <w:rsid w:val="00077911"/>
    <w:rsid w:val="000A6066"/>
    <w:rsid w:val="000F4989"/>
    <w:rsid w:val="00145ADF"/>
    <w:rsid w:val="001A72E5"/>
    <w:rsid w:val="001E2036"/>
    <w:rsid w:val="002604E2"/>
    <w:rsid w:val="00266712"/>
    <w:rsid w:val="002855C2"/>
    <w:rsid w:val="00286C9F"/>
    <w:rsid w:val="002C2D36"/>
    <w:rsid w:val="002F4EB7"/>
    <w:rsid w:val="00311550"/>
    <w:rsid w:val="00342FB0"/>
    <w:rsid w:val="003D1BA4"/>
    <w:rsid w:val="004A413C"/>
    <w:rsid w:val="00510B25"/>
    <w:rsid w:val="00513A64"/>
    <w:rsid w:val="005322A2"/>
    <w:rsid w:val="005324B5"/>
    <w:rsid w:val="006C2801"/>
    <w:rsid w:val="006D08D0"/>
    <w:rsid w:val="006D66F3"/>
    <w:rsid w:val="00710277"/>
    <w:rsid w:val="007201EB"/>
    <w:rsid w:val="00750944"/>
    <w:rsid w:val="0076011A"/>
    <w:rsid w:val="00772589"/>
    <w:rsid w:val="007B2B4B"/>
    <w:rsid w:val="0084554A"/>
    <w:rsid w:val="008610CD"/>
    <w:rsid w:val="00887BC1"/>
    <w:rsid w:val="008F65F2"/>
    <w:rsid w:val="00935B00"/>
    <w:rsid w:val="00A36F3A"/>
    <w:rsid w:val="00A66CD7"/>
    <w:rsid w:val="00A723BF"/>
    <w:rsid w:val="00A91EF6"/>
    <w:rsid w:val="00AC6CE5"/>
    <w:rsid w:val="00AD335F"/>
    <w:rsid w:val="00AF051D"/>
    <w:rsid w:val="00B34086"/>
    <w:rsid w:val="00B46837"/>
    <w:rsid w:val="00B60173"/>
    <w:rsid w:val="00B7566B"/>
    <w:rsid w:val="00BD6D89"/>
    <w:rsid w:val="00BE7F50"/>
    <w:rsid w:val="00C26D97"/>
    <w:rsid w:val="00D05F93"/>
    <w:rsid w:val="00D365A3"/>
    <w:rsid w:val="00D574E3"/>
    <w:rsid w:val="00D61C03"/>
    <w:rsid w:val="00DA5916"/>
    <w:rsid w:val="00E97972"/>
    <w:rsid w:val="00F2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9AB4A"/>
  <w15:docId w15:val="{C8EABADF-988C-4A9A-BB07-9BBA3A70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D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2A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2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FF12357F9614492378D63B24DCF0B" ma:contentTypeVersion="13" ma:contentTypeDescription="Create a new document." ma:contentTypeScope="" ma:versionID="4feb94b3a132603f2e6a72299aff85a9">
  <xsd:schema xmlns:xsd="http://www.w3.org/2001/XMLSchema" xmlns:xs="http://www.w3.org/2001/XMLSchema" xmlns:p="http://schemas.microsoft.com/office/2006/metadata/properties" xmlns:ns3="81938279-8c3f-4acb-84b4-863675fd370d" xmlns:ns4="5fe8d7ed-da5d-4d0d-ae6c-c04bcb261b2d" targetNamespace="http://schemas.microsoft.com/office/2006/metadata/properties" ma:root="true" ma:fieldsID="1970b6595ebc53dea83781fac20b5154" ns3:_="" ns4:_="">
    <xsd:import namespace="81938279-8c3f-4acb-84b4-863675fd370d"/>
    <xsd:import namespace="5fe8d7ed-da5d-4d0d-ae6c-c04bcb261b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38279-8c3f-4acb-84b4-863675fd37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8d7ed-da5d-4d0d-ae6c-c04bcb26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FD790E-4947-4525-A588-6EAB3948B7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38279-8c3f-4acb-84b4-863675fd370d"/>
    <ds:schemaRef ds:uri="5fe8d7ed-da5d-4d0d-ae6c-c04bcb26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C8CBE6-BD2B-47B8-A606-F9801354A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A29AE0-2798-4AC9-97F6-564526F36274}">
  <ds:schemaRefs>
    <ds:schemaRef ds:uri="http://purl.org/dc/terms/"/>
    <ds:schemaRef ds:uri="81938279-8c3f-4acb-84b4-863675fd370d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5fe8d7ed-da5d-4d0d-ae6c-c04bcb261b2d"/>
    <ds:schemaRef ds:uri="http://purl.org/dc/dcmitype/"/>
    <ds:schemaRef ds:uri="http://schemas.microsoft.com/office/2006/documentManagement/typ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2824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Chair</dc:creator>
  <cp:lastModifiedBy>Sacha Green</cp:lastModifiedBy>
  <cp:revision>2</cp:revision>
  <cp:lastPrinted>2016-06-13T09:05:00Z</cp:lastPrinted>
  <dcterms:created xsi:type="dcterms:W3CDTF">2021-02-02T22:28:00Z</dcterms:created>
  <dcterms:modified xsi:type="dcterms:W3CDTF">2021-02-02T22:28:00Z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0x010100FDBFF12357F9614492378D63B24DCF0B</vt:lpwstr>
  </property>
</Properties>
</file>