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A612" w14:textId="77777777" w:rsidR="00145ADF" w:rsidRPr="00286C9F" w:rsidRDefault="00B60173" w:rsidP="0076011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86C9F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0" allowOverlap="1" wp14:anchorId="5CFB9240" wp14:editId="3A2695B0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406400" cy="647700"/>
            <wp:effectExtent l="0" t="0" r="0" b="0"/>
            <wp:wrapSquare wrapText="bothSides"/>
            <wp:docPr id="2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B2B" w:rsidRPr="00286C9F">
        <w:rPr>
          <w:b/>
          <w:sz w:val="24"/>
          <w:szCs w:val="24"/>
          <w:u w:val="single"/>
        </w:rPr>
        <w:t>TENANTS PROTECTION ASSOCIATION AUCKLAND (INC).</w:t>
      </w:r>
    </w:p>
    <w:p w14:paraId="5AD8FA4C" w14:textId="77777777" w:rsidR="00F20B2B" w:rsidRDefault="007201EB" w:rsidP="0076011A">
      <w:pPr>
        <w:jc w:val="center"/>
        <w:rPr>
          <w:sz w:val="24"/>
          <w:szCs w:val="24"/>
        </w:rPr>
      </w:pPr>
      <w:r w:rsidRPr="00286C9F">
        <w:rPr>
          <w:sz w:val="24"/>
          <w:szCs w:val="24"/>
        </w:rPr>
        <w:t>PREPARATION FOR A TENANCY TRIBUNAL HEARING</w:t>
      </w:r>
      <w:r w:rsidR="0076011A" w:rsidRPr="00286C9F">
        <w:rPr>
          <w:sz w:val="24"/>
          <w:szCs w:val="24"/>
        </w:rPr>
        <w:t>: A GUIDE</w:t>
      </w:r>
      <w:r w:rsidR="00B455A5">
        <w:rPr>
          <w:sz w:val="24"/>
          <w:szCs w:val="24"/>
        </w:rPr>
        <w:t xml:space="preserve"> (ADVOCATES)*</w:t>
      </w:r>
    </w:p>
    <w:p w14:paraId="510715D1" w14:textId="77777777" w:rsidR="0076011A" w:rsidRDefault="0076011A" w:rsidP="0076011A">
      <w:pPr>
        <w:spacing w:line="240" w:lineRule="auto"/>
        <w:rPr>
          <w:sz w:val="20"/>
          <w:szCs w:val="20"/>
        </w:rPr>
      </w:pPr>
      <w:r w:rsidRPr="0076011A">
        <w:rPr>
          <w:b/>
          <w:sz w:val="20"/>
          <w:szCs w:val="20"/>
        </w:rPr>
        <w:t>Note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The tenant will almost always be presenting their own case, without a speaking representative, so being organised and properly prepa</w:t>
      </w:r>
      <w:r w:rsidR="00D05F93">
        <w:rPr>
          <w:sz w:val="20"/>
          <w:szCs w:val="20"/>
        </w:rPr>
        <w:t>red is essential in order to best ensure</w:t>
      </w:r>
      <w:r>
        <w:rPr>
          <w:sz w:val="20"/>
          <w:szCs w:val="20"/>
        </w:rPr>
        <w:t xml:space="preserve"> a fair hearing.</w:t>
      </w:r>
    </w:p>
    <w:p w14:paraId="17DCD576" w14:textId="77777777" w:rsidR="0076011A" w:rsidRDefault="0076011A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1. A good way to </w:t>
      </w:r>
      <w:r w:rsidR="00F843F6">
        <w:rPr>
          <w:sz w:val="20"/>
          <w:szCs w:val="20"/>
        </w:rPr>
        <w:t>prepare</w:t>
      </w:r>
      <w:r>
        <w:rPr>
          <w:sz w:val="20"/>
          <w:szCs w:val="20"/>
        </w:rPr>
        <w:t xml:space="preserve"> may be to attend another Tenancy Tribunal hearing, beforehand</w:t>
      </w:r>
      <w:r w:rsidR="00AF051D">
        <w:rPr>
          <w:sz w:val="20"/>
          <w:szCs w:val="20"/>
        </w:rPr>
        <w:t>, to familiarise oneself with the forum and process</w:t>
      </w:r>
      <w:r>
        <w:rPr>
          <w:sz w:val="20"/>
          <w:szCs w:val="20"/>
        </w:rPr>
        <w:t xml:space="preserve"> (they are public and the tenant may identify as ‘an observer’ when questioned about their attendance).</w:t>
      </w:r>
    </w:p>
    <w:p w14:paraId="0DF5BDE0" w14:textId="77777777" w:rsidR="00D43815" w:rsidRDefault="0076011A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2. The tenant should have all the relevant documents that support their case – e.g. tenancy agreement, rent records, photos, reports (as sworn affidavits, prefe</w:t>
      </w:r>
      <w:r w:rsidR="00EB1992">
        <w:rPr>
          <w:sz w:val="20"/>
          <w:szCs w:val="20"/>
        </w:rPr>
        <w:t>rably), letters, e-mails, texts (v</w:t>
      </w:r>
      <w:r w:rsidR="00513A64">
        <w:rPr>
          <w:sz w:val="20"/>
          <w:szCs w:val="20"/>
        </w:rPr>
        <w:t>ideos</w:t>
      </w:r>
      <w:r w:rsidR="00F843F6">
        <w:rPr>
          <w:sz w:val="20"/>
          <w:szCs w:val="20"/>
        </w:rPr>
        <w:t xml:space="preserve"> shown,</w:t>
      </w:r>
      <w:r w:rsidR="00513A64">
        <w:rPr>
          <w:sz w:val="20"/>
          <w:szCs w:val="20"/>
        </w:rPr>
        <w:t xml:space="preserve"> by </w:t>
      </w:r>
      <w:r w:rsidR="00F843F6">
        <w:rPr>
          <w:sz w:val="20"/>
          <w:szCs w:val="20"/>
        </w:rPr>
        <w:t xml:space="preserve">prior </w:t>
      </w:r>
      <w:r w:rsidR="00513A64">
        <w:rPr>
          <w:sz w:val="20"/>
          <w:szCs w:val="20"/>
        </w:rPr>
        <w:t>arrangement</w:t>
      </w:r>
      <w:r w:rsidR="00EB1992">
        <w:rPr>
          <w:sz w:val="20"/>
          <w:szCs w:val="20"/>
        </w:rPr>
        <w:t>)</w:t>
      </w:r>
      <w:r w:rsidR="00513A64">
        <w:rPr>
          <w:sz w:val="20"/>
          <w:szCs w:val="20"/>
        </w:rPr>
        <w:t>.</w:t>
      </w:r>
      <w:r w:rsidR="00D43815">
        <w:rPr>
          <w:sz w:val="20"/>
          <w:szCs w:val="20"/>
        </w:rPr>
        <w:t xml:space="preserve"> </w:t>
      </w:r>
      <w:r w:rsidR="00F843F6">
        <w:rPr>
          <w:sz w:val="20"/>
          <w:szCs w:val="20"/>
        </w:rPr>
        <w:t>Good evidence is important as the a</w:t>
      </w:r>
      <w:r w:rsidR="00D43815">
        <w:rPr>
          <w:sz w:val="20"/>
          <w:szCs w:val="20"/>
        </w:rPr>
        <w:t xml:space="preserve">djudicator </w:t>
      </w:r>
      <w:r w:rsidR="00F843F6">
        <w:rPr>
          <w:sz w:val="20"/>
          <w:szCs w:val="20"/>
        </w:rPr>
        <w:t>will be looking for the facts – i.e. exactly what happened, before applying the law.</w:t>
      </w:r>
    </w:p>
    <w:p w14:paraId="27820215" w14:textId="77777777" w:rsidR="0076011A" w:rsidRDefault="0076011A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3. Let Tenancy Services know (beforehand) if any witnesses are to appear for the tenant.</w:t>
      </w:r>
    </w:p>
    <w:p w14:paraId="4196B2F3" w14:textId="77777777" w:rsidR="00AF051D" w:rsidRDefault="00AF051D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4. Remember that the Tribunal will only consider what is in the application, so any other issues must be included as part of a c</w:t>
      </w:r>
      <w:r w:rsidR="00A66CD7">
        <w:rPr>
          <w:sz w:val="20"/>
          <w:szCs w:val="20"/>
        </w:rPr>
        <w:t>ross</w:t>
      </w:r>
      <w:r>
        <w:rPr>
          <w:sz w:val="20"/>
          <w:szCs w:val="20"/>
        </w:rPr>
        <w:t>-application (</w:t>
      </w:r>
      <w:r w:rsidR="00A66CD7">
        <w:rPr>
          <w:sz w:val="20"/>
          <w:szCs w:val="20"/>
        </w:rPr>
        <w:t>or counter</w:t>
      </w:r>
      <w:r>
        <w:rPr>
          <w:sz w:val="20"/>
          <w:szCs w:val="20"/>
        </w:rPr>
        <w:t>-claim), which can then be heard at the same hearing.</w:t>
      </w:r>
    </w:p>
    <w:p w14:paraId="4D5BED84" w14:textId="77777777" w:rsidR="00AF051D" w:rsidRDefault="00AF051D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5. The tenant should prepare written submissions, summarising their claim (or response), using bullet-points or numbered points, </w:t>
      </w:r>
      <w:r w:rsidR="00513A64">
        <w:rPr>
          <w:sz w:val="20"/>
          <w:szCs w:val="20"/>
        </w:rPr>
        <w:t>noted as linking to</w:t>
      </w:r>
      <w:r>
        <w:rPr>
          <w:sz w:val="20"/>
          <w:szCs w:val="20"/>
        </w:rPr>
        <w:t xml:space="preserve"> particular items of evidence. An introduction should state</w:t>
      </w:r>
      <w:r w:rsidR="00A66CD7">
        <w:rPr>
          <w:sz w:val="20"/>
          <w:szCs w:val="20"/>
        </w:rPr>
        <w:t xml:space="preserve"> briefly</w:t>
      </w:r>
      <w:r>
        <w:rPr>
          <w:sz w:val="20"/>
          <w:szCs w:val="20"/>
        </w:rPr>
        <w:t xml:space="preserve"> the </w:t>
      </w:r>
      <w:r w:rsidR="00F843F6">
        <w:rPr>
          <w:sz w:val="20"/>
          <w:szCs w:val="20"/>
        </w:rPr>
        <w:t xml:space="preserve">relevant </w:t>
      </w:r>
      <w:r>
        <w:rPr>
          <w:sz w:val="20"/>
          <w:szCs w:val="20"/>
        </w:rPr>
        <w:t xml:space="preserve">issues, followed by a statement of the </w:t>
      </w:r>
      <w:r w:rsidR="00F843F6">
        <w:rPr>
          <w:sz w:val="20"/>
          <w:szCs w:val="20"/>
        </w:rPr>
        <w:t>facts</w:t>
      </w:r>
      <w:r>
        <w:rPr>
          <w:sz w:val="20"/>
          <w:szCs w:val="20"/>
        </w:rPr>
        <w:t>. These should be typed and copies be made available for the adjudicator and other party.</w:t>
      </w:r>
    </w:p>
    <w:p w14:paraId="5AB3C79B" w14:textId="77777777" w:rsidR="00BE7F50" w:rsidRDefault="00BE7F50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6. Any questions before the hearing must be made to Tenancy Services, 5 days or more before the hearing date, or to t</w:t>
      </w:r>
      <w:r w:rsidR="00A66CD7">
        <w:rPr>
          <w:sz w:val="20"/>
          <w:szCs w:val="20"/>
        </w:rPr>
        <w:t xml:space="preserve">he Courts, </w:t>
      </w:r>
      <w:r>
        <w:rPr>
          <w:sz w:val="20"/>
          <w:szCs w:val="20"/>
        </w:rPr>
        <w:t>Tribunals division of the Ministry of Justice, after this.</w:t>
      </w:r>
    </w:p>
    <w:p w14:paraId="3DFD594E" w14:textId="77777777" w:rsidR="00AF051D" w:rsidRDefault="00BE7F50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7</w:t>
      </w:r>
      <w:r w:rsidR="00AF051D">
        <w:rPr>
          <w:sz w:val="20"/>
          <w:szCs w:val="20"/>
        </w:rPr>
        <w:t xml:space="preserve">. </w:t>
      </w:r>
      <w:r w:rsidR="00E12B24">
        <w:rPr>
          <w:sz w:val="20"/>
          <w:szCs w:val="20"/>
        </w:rPr>
        <w:t xml:space="preserve">The tenant should stay </w:t>
      </w:r>
      <w:r w:rsidR="00AF051D">
        <w:rPr>
          <w:sz w:val="20"/>
          <w:szCs w:val="20"/>
        </w:rPr>
        <w:t>calm and</w:t>
      </w:r>
      <w:r w:rsidR="00E12B24">
        <w:rPr>
          <w:sz w:val="20"/>
          <w:szCs w:val="20"/>
        </w:rPr>
        <w:t xml:space="preserve"> be</w:t>
      </w:r>
      <w:r w:rsidR="00AF051D">
        <w:rPr>
          <w:sz w:val="20"/>
          <w:szCs w:val="20"/>
        </w:rPr>
        <w:t xml:space="preserve"> courteous once the hearing is under way;</w:t>
      </w:r>
      <w:r w:rsidR="00E12B24">
        <w:rPr>
          <w:sz w:val="20"/>
          <w:szCs w:val="20"/>
        </w:rPr>
        <w:t xml:space="preserve"> interrupting or losing one’s temper will be extremely unhelpful. The hearing</w:t>
      </w:r>
      <w:r w:rsidR="00AF051D">
        <w:rPr>
          <w:sz w:val="20"/>
          <w:szCs w:val="20"/>
        </w:rPr>
        <w:t xml:space="preserve"> will proceed as follows:</w:t>
      </w:r>
    </w:p>
    <w:p w14:paraId="3B57D091" w14:textId="77777777" w:rsidR="00AF051D" w:rsidRDefault="00AF051D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Adjudicator opens, with introductions. Including the applicant and respondent.</w:t>
      </w:r>
    </w:p>
    <w:p w14:paraId="32E90C3D" w14:textId="77777777" w:rsidR="00AF051D" w:rsidRDefault="00AF051D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Applicant presents case, with supporting evidence (including any witnesses). There will be opportunities provided for questions from both the Adjudicator and the other party.</w:t>
      </w:r>
    </w:p>
    <w:p w14:paraId="31875787" w14:textId="77777777" w:rsidR="00AF051D" w:rsidRPr="00AF051D" w:rsidRDefault="00AF051D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Respondent presents case, with supporting evidence (including any witnesses). There will be opportunities provided for questions from both the Adjudicator and the other party.</w:t>
      </w:r>
    </w:p>
    <w:p w14:paraId="3035A7F1" w14:textId="77777777" w:rsidR="00AF051D" w:rsidRDefault="00AF051D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Adjudicator</w:t>
      </w:r>
      <w:r w:rsidR="00BE7F50">
        <w:rPr>
          <w:sz w:val="20"/>
          <w:szCs w:val="20"/>
        </w:rPr>
        <w:t xml:space="preserve"> will conclude the hearing by asking both parties whether they have anything further to say.</w:t>
      </w:r>
    </w:p>
    <w:p w14:paraId="1578907C" w14:textId="77777777" w:rsidR="00BE7F50" w:rsidRDefault="00BE7F50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Decision may be made and provided to the parties</w:t>
      </w:r>
      <w:r w:rsidR="0084554A">
        <w:rPr>
          <w:sz w:val="20"/>
          <w:szCs w:val="20"/>
        </w:rPr>
        <w:t xml:space="preserve"> either</w:t>
      </w:r>
      <w:r>
        <w:rPr>
          <w:sz w:val="20"/>
          <w:szCs w:val="20"/>
        </w:rPr>
        <w:t xml:space="preserve"> at the end of the hearing, or ‘reserve</w:t>
      </w:r>
      <w:r w:rsidR="0084554A">
        <w:rPr>
          <w:sz w:val="20"/>
          <w:szCs w:val="20"/>
        </w:rPr>
        <w:t>d</w:t>
      </w:r>
      <w:r>
        <w:rPr>
          <w:sz w:val="20"/>
          <w:szCs w:val="20"/>
        </w:rPr>
        <w:t>’ for later; this should not take more than four weeks.</w:t>
      </w:r>
    </w:p>
    <w:p w14:paraId="4D4BA6E9" w14:textId="77777777" w:rsidR="00BE7F50" w:rsidRDefault="00BE7F50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De</w:t>
      </w:r>
      <w:r w:rsidR="00710277">
        <w:rPr>
          <w:sz w:val="20"/>
          <w:szCs w:val="20"/>
        </w:rPr>
        <w:t xml:space="preserve">cision will be in the form of </w:t>
      </w:r>
      <w:r>
        <w:rPr>
          <w:sz w:val="20"/>
          <w:szCs w:val="20"/>
        </w:rPr>
        <w:t>written Order of the Tribunal, which must be complied with by both parties.</w:t>
      </w:r>
    </w:p>
    <w:p w14:paraId="6A4F0585" w14:textId="77777777" w:rsidR="00BE7F50" w:rsidRDefault="00BE7F50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If the other party does not comply with the Order, enforcement must be made through the Collections Unit of the Ministry of Justice (</w:t>
      </w:r>
      <w:r w:rsidR="00513A64">
        <w:rPr>
          <w:sz w:val="20"/>
          <w:szCs w:val="20"/>
        </w:rPr>
        <w:t>not through</w:t>
      </w:r>
      <w:r>
        <w:rPr>
          <w:sz w:val="20"/>
          <w:szCs w:val="20"/>
        </w:rPr>
        <w:t xml:space="preserve"> the Tenancy Tribunal and</w:t>
      </w:r>
      <w:r w:rsidR="00513A64">
        <w:rPr>
          <w:sz w:val="20"/>
          <w:szCs w:val="20"/>
        </w:rPr>
        <w:t xml:space="preserve"> which is</w:t>
      </w:r>
      <w:r>
        <w:rPr>
          <w:sz w:val="20"/>
          <w:szCs w:val="20"/>
        </w:rPr>
        <w:t xml:space="preserve"> part of the general courts</w:t>
      </w:r>
      <w:r w:rsidR="00513A64">
        <w:rPr>
          <w:sz w:val="20"/>
          <w:szCs w:val="20"/>
        </w:rPr>
        <w:t>’</w:t>
      </w:r>
      <w:r>
        <w:rPr>
          <w:sz w:val="20"/>
          <w:szCs w:val="20"/>
        </w:rPr>
        <w:t xml:space="preserve"> and tribunals</w:t>
      </w:r>
      <w:r w:rsidR="00513A64">
        <w:rPr>
          <w:sz w:val="20"/>
          <w:szCs w:val="20"/>
        </w:rPr>
        <w:t>’</w:t>
      </w:r>
      <w:r>
        <w:rPr>
          <w:sz w:val="20"/>
          <w:szCs w:val="20"/>
        </w:rPr>
        <w:t xml:space="preserve"> enforcement process).</w:t>
      </w:r>
    </w:p>
    <w:p w14:paraId="7493A717" w14:textId="77777777" w:rsidR="00BE7F50" w:rsidRDefault="00BE7F50" w:rsidP="00BE7F5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SOURCE MATERIAL:</w:t>
      </w:r>
    </w:p>
    <w:p w14:paraId="5F7E0D26" w14:textId="77777777" w:rsidR="00BE7F50" w:rsidRDefault="00BE7F50" w:rsidP="00BE7F5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‘Residential Tenancies – The Law and Practice 4</w:t>
      </w:r>
      <w:r w:rsidRPr="00BE7F50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ed</w:t>
      </w:r>
      <w:r w:rsidR="007102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Grinlinton</w:t>
      </w:r>
      <w:proofErr w:type="spellEnd"/>
      <w:r>
        <w:rPr>
          <w:sz w:val="20"/>
          <w:szCs w:val="20"/>
        </w:rPr>
        <w:t xml:space="preserve"> (</w:t>
      </w:r>
      <w:r w:rsidR="00710277">
        <w:rPr>
          <w:sz w:val="20"/>
          <w:szCs w:val="20"/>
        </w:rPr>
        <w:t>author/</w:t>
      </w:r>
      <w:r>
        <w:rPr>
          <w:sz w:val="20"/>
          <w:szCs w:val="20"/>
        </w:rPr>
        <w:t>book) p.300, ‘Presenting Cases …’</w:t>
      </w:r>
    </w:p>
    <w:p w14:paraId="01CB44F3" w14:textId="77777777" w:rsidR="00BE7F50" w:rsidRDefault="00BE7F50" w:rsidP="00BE7F5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Tenants Protection Association </w:t>
      </w:r>
      <w:r w:rsidR="002F4EB7">
        <w:rPr>
          <w:sz w:val="20"/>
          <w:szCs w:val="20"/>
        </w:rPr>
        <w:t>–</w:t>
      </w:r>
      <w:r>
        <w:rPr>
          <w:sz w:val="20"/>
          <w:szCs w:val="20"/>
        </w:rPr>
        <w:t xml:space="preserve"> Christchurch</w:t>
      </w:r>
      <w:r w:rsidR="002F4EB7">
        <w:rPr>
          <w:sz w:val="20"/>
          <w:szCs w:val="20"/>
        </w:rPr>
        <w:t>; ‘Preparing Your Case’ (website page).</w:t>
      </w:r>
    </w:p>
    <w:p w14:paraId="6E20BF18" w14:textId="77777777" w:rsidR="002F4EB7" w:rsidRDefault="00266712" w:rsidP="00BE7F5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‘</w:t>
      </w:r>
      <w:r w:rsidR="002F4EB7">
        <w:rPr>
          <w:sz w:val="20"/>
          <w:szCs w:val="20"/>
        </w:rPr>
        <w:t>Tenancy Advocacy Manual</w:t>
      </w:r>
      <w:r>
        <w:rPr>
          <w:sz w:val="20"/>
          <w:szCs w:val="20"/>
        </w:rPr>
        <w:t>’</w:t>
      </w:r>
      <w:r w:rsidR="002F4EB7">
        <w:rPr>
          <w:sz w:val="20"/>
          <w:szCs w:val="20"/>
        </w:rPr>
        <w:t xml:space="preserve"> – ‘What Happens at a Tenancy Tribunal Hearing?’ (p.102).</w:t>
      </w:r>
    </w:p>
    <w:p w14:paraId="794FEAFD" w14:textId="77777777" w:rsidR="00BE7F50" w:rsidRDefault="00BE7F50" w:rsidP="00BE7F5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Tenancy Services – </w:t>
      </w:r>
      <w:r w:rsidR="00266712">
        <w:rPr>
          <w:sz w:val="20"/>
          <w:szCs w:val="20"/>
        </w:rPr>
        <w:t>‘</w:t>
      </w:r>
      <w:r>
        <w:rPr>
          <w:sz w:val="20"/>
          <w:szCs w:val="20"/>
        </w:rPr>
        <w:t>Getting Ready for the Tribunal Hearing</w:t>
      </w:r>
      <w:r w:rsidR="00266712">
        <w:rPr>
          <w:sz w:val="20"/>
          <w:szCs w:val="20"/>
        </w:rPr>
        <w:t>’</w:t>
      </w:r>
      <w:r>
        <w:rPr>
          <w:sz w:val="20"/>
          <w:szCs w:val="20"/>
        </w:rPr>
        <w:t xml:space="preserve"> (website pages).</w:t>
      </w:r>
    </w:p>
    <w:p w14:paraId="09F6D2A4" w14:textId="77777777" w:rsidR="005E6BA8" w:rsidRPr="0076011A" w:rsidRDefault="00B455A5" w:rsidP="002F4EB7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* A tenant-version of this guide is also available.</w:t>
      </w:r>
    </w:p>
    <w:sectPr w:rsidR="005E6BA8" w:rsidRPr="0076011A" w:rsidSect="00145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7C66"/>
    <w:multiLevelType w:val="multilevel"/>
    <w:tmpl w:val="36B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F5C84"/>
    <w:multiLevelType w:val="hybridMultilevel"/>
    <w:tmpl w:val="18EA32D6"/>
    <w:lvl w:ilvl="0" w:tplc="5288AD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25A11"/>
    <w:multiLevelType w:val="hybridMultilevel"/>
    <w:tmpl w:val="FD30D5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89"/>
    <w:rsid w:val="000750C4"/>
    <w:rsid w:val="00145ADF"/>
    <w:rsid w:val="001A72E5"/>
    <w:rsid w:val="001E2036"/>
    <w:rsid w:val="002604E2"/>
    <w:rsid w:val="00266712"/>
    <w:rsid w:val="002855C2"/>
    <w:rsid w:val="00286C9F"/>
    <w:rsid w:val="002F4EB7"/>
    <w:rsid w:val="00342FB0"/>
    <w:rsid w:val="003D1BA4"/>
    <w:rsid w:val="00513A64"/>
    <w:rsid w:val="005322A2"/>
    <w:rsid w:val="005324B5"/>
    <w:rsid w:val="005E6BA8"/>
    <w:rsid w:val="00600262"/>
    <w:rsid w:val="006C2801"/>
    <w:rsid w:val="006D08D0"/>
    <w:rsid w:val="006D66F3"/>
    <w:rsid w:val="00710277"/>
    <w:rsid w:val="007201EB"/>
    <w:rsid w:val="0076011A"/>
    <w:rsid w:val="00772589"/>
    <w:rsid w:val="007B2B4B"/>
    <w:rsid w:val="0084554A"/>
    <w:rsid w:val="008610CD"/>
    <w:rsid w:val="00935B00"/>
    <w:rsid w:val="00A315B1"/>
    <w:rsid w:val="00A36F3A"/>
    <w:rsid w:val="00A66CD7"/>
    <w:rsid w:val="00A91EF6"/>
    <w:rsid w:val="00AA6243"/>
    <w:rsid w:val="00AC6CE5"/>
    <w:rsid w:val="00AD335F"/>
    <w:rsid w:val="00AF051D"/>
    <w:rsid w:val="00B34086"/>
    <w:rsid w:val="00B455A5"/>
    <w:rsid w:val="00B60173"/>
    <w:rsid w:val="00BB5FD9"/>
    <w:rsid w:val="00BD6D89"/>
    <w:rsid w:val="00BE7F50"/>
    <w:rsid w:val="00D05F93"/>
    <w:rsid w:val="00D43815"/>
    <w:rsid w:val="00D61C03"/>
    <w:rsid w:val="00DA5916"/>
    <w:rsid w:val="00E12B24"/>
    <w:rsid w:val="00E97972"/>
    <w:rsid w:val="00EB1992"/>
    <w:rsid w:val="00F20B2B"/>
    <w:rsid w:val="00F8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D309"/>
  <w15:docId w15:val="{01D2FC3E-F2F1-4EA4-87DF-716C3B0E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2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2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7248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69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FF12357F9614492378D63B24DCF0B" ma:contentTypeVersion="13" ma:contentTypeDescription="Create a new document." ma:contentTypeScope="" ma:versionID="4feb94b3a132603f2e6a72299aff85a9">
  <xsd:schema xmlns:xsd="http://www.w3.org/2001/XMLSchema" xmlns:xs="http://www.w3.org/2001/XMLSchema" xmlns:p="http://schemas.microsoft.com/office/2006/metadata/properties" xmlns:ns3="81938279-8c3f-4acb-84b4-863675fd370d" xmlns:ns4="5fe8d7ed-da5d-4d0d-ae6c-c04bcb261b2d" targetNamespace="http://schemas.microsoft.com/office/2006/metadata/properties" ma:root="true" ma:fieldsID="1970b6595ebc53dea83781fac20b5154" ns3:_="" ns4:_="">
    <xsd:import namespace="81938279-8c3f-4acb-84b4-863675fd370d"/>
    <xsd:import namespace="5fe8d7ed-da5d-4d0d-ae6c-c04bcb261b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38279-8c3f-4acb-84b4-863675fd3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8d7ed-da5d-4d0d-ae6c-c04bcb26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04B526-2DB5-4562-9959-01204897A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38279-8c3f-4acb-84b4-863675fd370d"/>
    <ds:schemaRef ds:uri="5fe8d7ed-da5d-4d0d-ae6c-c04bcb26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0A709-51FA-4AC8-A3E6-BC622102E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E91A8-9587-4AC3-ABF1-CFAA8750FCF0}">
  <ds:schemaRefs>
    <ds:schemaRef ds:uri="5fe8d7ed-da5d-4d0d-ae6c-c04bcb261b2d"/>
    <ds:schemaRef ds:uri="http://schemas.microsoft.com/office/2006/documentManagement/types"/>
    <ds:schemaRef ds:uri="http://schemas.microsoft.com/office/2006/metadata/properties"/>
    <ds:schemaRef ds:uri="81938279-8c3f-4acb-84b4-863675fd370d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Chair</dc:creator>
  <cp:lastModifiedBy>Sacha Green</cp:lastModifiedBy>
  <cp:revision>2</cp:revision>
  <cp:lastPrinted>2016-06-13T09:05:00Z</cp:lastPrinted>
  <dcterms:created xsi:type="dcterms:W3CDTF">2021-02-02T22:28:00Z</dcterms:created>
  <dcterms:modified xsi:type="dcterms:W3CDTF">2021-02-02T22:28:00Z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0x010100FDBFF12357F9614492378D63B24DCF0B</vt:lpwstr>
  </property>
</Properties>
</file>